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77"/>
        <w:tblW w:w="11496" w:type="dxa"/>
        <w:tblCellMar>
          <w:left w:w="0" w:type="dxa"/>
          <w:right w:w="0" w:type="dxa"/>
        </w:tblCellMar>
        <w:tblLook w:val="04A0" w:firstRow="1" w:lastRow="0" w:firstColumn="1" w:lastColumn="0" w:noHBand="0" w:noVBand="1"/>
      </w:tblPr>
      <w:tblGrid>
        <w:gridCol w:w="782"/>
        <w:gridCol w:w="4737"/>
        <w:gridCol w:w="5669"/>
        <w:gridCol w:w="308"/>
      </w:tblGrid>
      <w:tr w:rsidR="00F57D37" w:rsidTr="00F57D37">
        <w:trPr>
          <w:cantSplit/>
          <w:trHeight w:val="2123"/>
        </w:trPr>
        <w:tc>
          <w:tcPr>
            <w:tcW w:w="11496" w:type="dxa"/>
            <w:gridSpan w:val="4"/>
            <w:vAlign w:val="center"/>
          </w:tcPr>
          <w:p w:rsidR="00F57D37" w:rsidRDefault="00F57D37">
            <w:pPr>
              <w:jc w:val="center"/>
              <w:rPr>
                <w:rFonts w:ascii="Arial" w:hAnsi="Arial" w:cs="Arial"/>
                <w:sz w:val="20"/>
                <w:szCs w:val="20"/>
              </w:rPr>
            </w:pPr>
          </w:p>
        </w:tc>
      </w:tr>
      <w:tr w:rsidR="00F57D37" w:rsidTr="00F57D37">
        <w:trPr>
          <w:cantSplit/>
          <w:trHeight w:hRule="exact" w:val="423"/>
        </w:trPr>
        <w:tc>
          <w:tcPr>
            <w:tcW w:w="5519" w:type="dxa"/>
            <w:gridSpan w:val="2"/>
          </w:tcPr>
          <w:p w:rsidR="00F57D37" w:rsidRDefault="00F57D37">
            <w:pPr>
              <w:rPr>
                <w:rFonts w:ascii="Arial" w:hAnsi="Arial" w:cs="Arial"/>
                <w:noProof/>
                <w:sz w:val="20"/>
                <w:szCs w:val="20"/>
                <w:lang w:val="en-US"/>
              </w:rPr>
            </w:pPr>
          </w:p>
        </w:tc>
        <w:tc>
          <w:tcPr>
            <w:tcW w:w="5669" w:type="dxa"/>
            <w:vAlign w:val="bottom"/>
            <w:hideMark/>
          </w:tcPr>
          <w:p w:rsidR="00F57D37" w:rsidRDefault="000B3F0F">
            <w:pPr>
              <w:jc w:val="right"/>
              <w:rPr>
                <w:rFonts w:ascii="Arial" w:hAnsi="Arial" w:cs="Arial"/>
                <w:b/>
                <w:color w:val="FFFFF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27FF82F2" wp14:editId="104F4600">
                      <wp:simplePos x="0" y="0"/>
                      <wp:positionH relativeFrom="column">
                        <wp:posOffset>1127760</wp:posOffset>
                      </wp:positionH>
                      <wp:positionV relativeFrom="paragraph">
                        <wp:posOffset>110490</wp:posOffset>
                      </wp:positionV>
                      <wp:extent cx="1647825" cy="2876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4782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1B" w:rsidRPr="000B3F0F" w:rsidRDefault="00873C73" w:rsidP="002C2B1B">
                                  <w:pPr>
                                    <w:jc w:val="right"/>
                                    <w:rPr>
                                      <w:rFonts w:ascii="Arial" w:hAnsi="Arial" w:cs="Arial"/>
                                      <w:b/>
                                      <w:color w:val="FFFFFF" w:themeColor="background1"/>
                                      <w:sz w:val="20"/>
                                    </w:rPr>
                                  </w:pPr>
                                  <w:r>
                                    <w:rPr>
                                      <w:rFonts w:ascii="Arial" w:hAnsi="Arial" w:cs="Arial"/>
                                      <w:b/>
                                      <w:color w:val="FFFFFF" w:themeColor="background1"/>
                                      <w:sz w:val="20"/>
                                    </w:rPr>
                                    <w:t>1</w:t>
                                  </w:r>
                                  <w:r w:rsidR="0011621F">
                                    <w:rPr>
                                      <w:rFonts w:ascii="Arial" w:hAnsi="Arial" w:cs="Arial"/>
                                      <w:b/>
                                      <w:color w:val="FFFFFF" w:themeColor="background1"/>
                                      <w:sz w:val="20"/>
                                    </w:rPr>
                                    <w:t>8</w:t>
                                  </w:r>
                                  <w:bookmarkStart w:id="0" w:name="_GoBack"/>
                                  <w:bookmarkEnd w:id="0"/>
                                  <w:r w:rsidRPr="00873C73">
                                    <w:rPr>
                                      <w:rFonts w:ascii="Arial" w:hAnsi="Arial" w:cs="Arial"/>
                                      <w:b/>
                                      <w:color w:val="FFFFFF" w:themeColor="background1"/>
                                      <w:sz w:val="20"/>
                                      <w:vertAlign w:val="superscript"/>
                                    </w:rPr>
                                    <w:t>th</w:t>
                                  </w:r>
                                  <w:r>
                                    <w:rPr>
                                      <w:rFonts w:ascii="Arial" w:hAnsi="Arial" w:cs="Arial"/>
                                      <w:b/>
                                      <w:color w:val="FFFFFF" w:themeColor="background1"/>
                                      <w:sz w:val="20"/>
                                    </w:rPr>
                                    <w:t xml:space="preserve"> September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F82F2" id="_x0000_t202" coordsize="21600,21600" o:spt="202" path="m,l,21600r21600,l21600,xe">
                      <v:stroke joinstyle="miter"/>
                      <v:path gradientshapeok="t" o:connecttype="rect"/>
                    </v:shapetype>
                    <v:shape id="Text Box 13" o:spid="_x0000_s1026" type="#_x0000_t202" style="position:absolute;left:0;text-align:left;margin-left:88.8pt;margin-top:8.7pt;width:129.7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" filled="f" stroked="f" strokeweight=".5pt">
                      <v:textbox>
                        <w:txbxContent>
                          <w:p w:rsidR="002C2B1B" w:rsidRPr="000B3F0F" w:rsidRDefault="00873C73" w:rsidP="002C2B1B">
                            <w:pPr>
                              <w:jc w:val="right"/>
                              <w:rPr>
                                <w:rFonts w:ascii="Arial" w:hAnsi="Arial" w:cs="Arial"/>
                                <w:b/>
                                <w:color w:val="FFFFFF" w:themeColor="background1"/>
                                <w:sz w:val="20"/>
                              </w:rPr>
                            </w:pPr>
                            <w:r>
                              <w:rPr>
                                <w:rFonts w:ascii="Arial" w:hAnsi="Arial" w:cs="Arial"/>
                                <w:b/>
                                <w:color w:val="FFFFFF" w:themeColor="background1"/>
                                <w:sz w:val="20"/>
                              </w:rPr>
                              <w:t>1</w:t>
                            </w:r>
                            <w:r w:rsidR="0011621F">
                              <w:rPr>
                                <w:rFonts w:ascii="Arial" w:hAnsi="Arial" w:cs="Arial"/>
                                <w:b/>
                                <w:color w:val="FFFFFF" w:themeColor="background1"/>
                                <w:sz w:val="20"/>
                              </w:rPr>
                              <w:t>8</w:t>
                            </w:r>
                            <w:bookmarkStart w:id="1" w:name="_GoBack"/>
                            <w:bookmarkEnd w:id="1"/>
                            <w:r w:rsidRPr="00873C73">
                              <w:rPr>
                                <w:rFonts w:ascii="Arial" w:hAnsi="Arial" w:cs="Arial"/>
                                <w:b/>
                                <w:color w:val="FFFFFF" w:themeColor="background1"/>
                                <w:sz w:val="20"/>
                                <w:vertAlign w:val="superscript"/>
                              </w:rPr>
                              <w:t>th</w:t>
                            </w:r>
                            <w:r>
                              <w:rPr>
                                <w:rFonts w:ascii="Arial" w:hAnsi="Arial" w:cs="Arial"/>
                                <w:b/>
                                <w:color w:val="FFFFFF" w:themeColor="background1"/>
                                <w:sz w:val="20"/>
                              </w:rPr>
                              <w:t xml:space="preserve"> September 2019</w:t>
                            </w:r>
                          </w:p>
                        </w:txbxContent>
                      </v:textbox>
                    </v:shape>
                  </w:pict>
                </mc:Fallback>
              </mc:AlternateContent>
            </w:r>
          </w:p>
        </w:tc>
        <w:tc>
          <w:tcPr>
            <w:tcW w:w="308" w:type="dxa"/>
          </w:tcPr>
          <w:p w:rsidR="00F57D37" w:rsidRDefault="00F57D37">
            <w:pPr>
              <w:rPr>
                <w:rFonts w:ascii="Arial" w:hAnsi="Arial" w:cs="Arial"/>
                <w:color w:val="FFFFFF"/>
                <w:sz w:val="20"/>
                <w:szCs w:val="20"/>
              </w:rPr>
            </w:pPr>
          </w:p>
        </w:tc>
      </w:tr>
      <w:tr w:rsidR="00F57D37" w:rsidTr="00873C73">
        <w:trPr>
          <w:cantSplit/>
          <w:trHeight w:hRule="exact" w:val="152"/>
        </w:trPr>
        <w:tc>
          <w:tcPr>
            <w:tcW w:w="782" w:type="dxa"/>
          </w:tcPr>
          <w:p w:rsidR="00F57D37" w:rsidRDefault="00F57D37" w:rsidP="002C2B1B">
            <w:pPr>
              <w:spacing w:after="0"/>
              <w:rPr>
                <w:rFonts w:ascii="Arial" w:hAnsi="Arial" w:cs="Arial"/>
                <w:sz w:val="20"/>
                <w:szCs w:val="20"/>
              </w:rPr>
            </w:pPr>
          </w:p>
        </w:tc>
        <w:tc>
          <w:tcPr>
            <w:tcW w:w="4737" w:type="dxa"/>
            <w:vAlign w:val="center"/>
          </w:tcPr>
          <w:p w:rsidR="002C2B1B" w:rsidRDefault="002C2B1B" w:rsidP="002C2B1B">
            <w:pPr>
              <w:spacing w:after="0"/>
              <w:rPr>
                <w:rFonts w:ascii="Arial" w:hAnsi="Arial" w:cs="Arial"/>
                <w:sz w:val="20"/>
                <w:szCs w:val="20"/>
              </w:rPr>
            </w:pPr>
          </w:p>
        </w:tc>
        <w:tc>
          <w:tcPr>
            <w:tcW w:w="5669" w:type="dxa"/>
            <w:vAlign w:val="center"/>
          </w:tcPr>
          <w:p w:rsidR="00F57D37" w:rsidRPr="00F57D37" w:rsidRDefault="00F57D37" w:rsidP="002C2B1B">
            <w:pPr>
              <w:spacing w:after="0"/>
              <w:jc w:val="right"/>
              <w:rPr>
                <w:rFonts w:ascii="Arial" w:hAnsi="Arial" w:cs="Arial"/>
                <w:sz w:val="20"/>
                <w:szCs w:val="20"/>
              </w:rPr>
            </w:pPr>
          </w:p>
        </w:tc>
        <w:tc>
          <w:tcPr>
            <w:tcW w:w="308" w:type="dxa"/>
            <w:vAlign w:val="center"/>
          </w:tcPr>
          <w:p w:rsidR="00F57D37" w:rsidRDefault="00F57D37" w:rsidP="002C2B1B">
            <w:pPr>
              <w:spacing w:after="0"/>
              <w:rPr>
                <w:rFonts w:ascii="Arial" w:hAnsi="Arial" w:cs="Arial"/>
                <w:sz w:val="20"/>
                <w:szCs w:val="20"/>
              </w:rPr>
            </w:pPr>
          </w:p>
        </w:tc>
      </w:tr>
    </w:tbl>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Dear Parent/Guardian,</w:t>
      </w:r>
    </w:p>
    <w:p w:rsidR="00873C73" w:rsidRPr="00873C73" w:rsidRDefault="00873C73" w:rsidP="00873C73">
      <w:pPr>
        <w:spacing w:after="0" w:line="240" w:lineRule="auto"/>
        <w:ind w:right="-55"/>
        <w:rPr>
          <w:rFonts w:ascii="Arial" w:eastAsia="Times New Roman" w:hAnsi="Arial" w:cs="Arial"/>
          <w:lang w:eastAsia="en-GB"/>
        </w:rPr>
      </w:pP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I am writing to inform you about the key dates and support available for Year 11 students over the coming academic year, as we continue to prepare our students for their GCSE exams next summer.</w:t>
      </w:r>
    </w:p>
    <w:p w:rsidR="00873C73" w:rsidRPr="00873C73" w:rsidRDefault="00873C73" w:rsidP="00873C73">
      <w:pPr>
        <w:spacing w:after="0" w:line="240" w:lineRule="auto"/>
        <w:ind w:right="-55"/>
        <w:rPr>
          <w:rFonts w:ascii="Arial" w:eastAsia="Times New Roman" w:hAnsi="Arial" w:cs="Arial"/>
          <w:lang w:eastAsia="en-GB"/>
        </w:rPr>
      </w:pP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I would like to draw your attention to the following key dates for Year 11. Starting in mid-November the Year 11 Pre Public Exams, and students should be beginning to prepare and revise for these.</w:t>
      </w:r>
    </w:p>
    <w:p w:rsidR="00873C73" w:rsidRPr="00873C73" w:rsidRDefault="00873C73" w:rsidP="00873C73">
      <w:pPr>
        <w:spacing w:after="0" w:line="240" w:lineRule="auto"/>
        <w:ind w:right="-55"/>
        <w:rPr>
          <w:rFonts w:ascii="Arial" w:eastAsia="Times New Roman" w:hAnsi="Arial" w:cs="Arial"/>
          <w:lang w:eastAsia="en-GB"/>
        </w:rPr>
      </w:pPr>
    </w:p>
    <w:tbl>
      <w:tblPr>
        <w:tblStyle w:val="TableGrid"/>
        <w:tblW w:w="9209" w:type="dxa"/>
        <w:jc w:val="center"/>
        <w:tblLook w:val="04A0" w:firstRow="1" w:lastRow="0" w:firstColumn="1" w:lastColumn="0" w:noHBand="0" w:noVBand="1"/>
      </w:tblPr>
      <w:tblGrid>
        <w:gridCol w:w="2689"/>
        <w:gridCol w:w="6520"/>
      </w:tblGrid>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7 October</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Meet the Tutor Evening</w:t>
            </w: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11-18 November</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Year 11 PPE Exams</w:t>
            </w: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27 November</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Sixth Form Open Evening for 2020 Entry</w:t>
            </w: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Mid-December</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Year 11 PPE Results Presentation</w:t>
            </w:r>
          </w:p>
        </w:tc>
      </w:tr>
      <w:tr w:rsidR="00873C73" w:rsidRPr="00873C73" w:rsidTr="00873C73">
        <w:trPr>
          <w:trHeight w:val="151"/>
          <w:jc w:val="center"/>
        </w:trPr>
        <w:tc>
          <w:tcPr>
            <w:tcW w:w="9209" w:type="dxa"/>
            <w:gridSpan w:val="2"/>
            <w:shd w:val="clear" w:color="auto" w:fill="D9D9D9"/>
            <w:vAlign w:val="center"/>
          </w:tcPr>
          <w:p w:rsidR="00873C73" w:rsidRPr="00873C73" w:rsidRDefault="00873C73" w:rsidP="00873C73">
            <w:pPr>
              <w:ind w:right="-55"/>
              <w:rPr>
                <w:rFonts w:ascii="Arial" w:eastAsia="Times New Roman" w:hAnsi="Arial" w:cs="Arial"/>
              </w:rPr>
            </w:pPr>
          </w:p>
        </w:tc>
      </w:tr>
      <w:tr w:rsidR="00873C73" w:rsidRPr="00873C73" w:rsidTr="009703D3">
        <w:trPr>
          <w:trHeight w:val="340"/>
          <w:jc w:val="center"/>
        </w:trPr>
        <w:tc>
          <w:tcPr>
            <w:tcW w:w="2689" w:type="dxa"/>
            <w:vAlign w:val="center"/>
          </w:tcPr>
          <w:p w:rsidR="00873C73" w:rsidRPr="00873C73" w:rsidRDefault="00FD59B9" w:rsidP="00873C73">
            <w:pPr>
              <w:ind w:right="-55"/>
              <w:rPr>
                <w:rFonts w:ascii="Arial" w:eastAsia="Times New Roman" w:hAnsi="Arial" w:cs="Arial"/>
              </w:rPr>
            </w:pPr>
            <w:r>
              <w:rPr>
                <w:rFonts w:ascii="Arial" w:eastAsia="Times New Roman" w:hAnsi="Arial" w:cs="Arial"/>
              </w:rPr>
              <w:t>16</w:t>
            </w:r>
            <w:r w:rsidR="00873C73" w:rsidRPr="00873C73">
              <w:rPr>
                <w:rFonts w:ascii="Arial" w:eastAsia="Times New Roman" w:hAnsi="Arial" w:cs="Arial"/>
              </w:rPr>
              <w:t xml:space="preserve"> January</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Year 11 Parents Evening</w:t>
            </w: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24 February – 6 March</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Year 11 Wave Tests (English, Maths and Science)</w:t>
            </w:r>
          </w:p>
        </w:tc>
      </w:tr>
      <w:tr w:rsidR="00873C73" w:rsidRPr="00873C73" w:rsidTr="00873C73">
        <w:trPr>
          <w:trHeight w:val="179"/>
          <w:jc w:val="center"/>
        </w:trPr>
        <w:tc>
          <w:tcPr>
            <w:tcW w:w="9209" w:type="dxa"/>
            <w:gridSpan w:val="2"/>
            <w:shd w:val="clear" w:color="auto" w:fill="D9D9D9"/>
            <w:vAlign w:val="center"/>
          </w:tcPr>
          <w:p w:rsidR="00873C73" w:rsidRPr="00873C73" w:rsidRDefault="00873C73" w:rsidP="00873C73">
            <w:pPr>
              <w:ind w:right="-55"/>
              <w:rPr>
                <w:rFonts w:ascii="Arial" w:eastAsia="Times New Roman" w:hAnsi="Arial" w:cs="Arial"/>
              </w:rPr>
            </w:pP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11 May – 18 June</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GCSE Exam Period</w:t>
            </w: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3 July</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Prom</w:t>
            </w:r>
          </w:p>
        </w:tc>
      </w:tr>
      <w:tr w:rsidR="00873C73" w:rsidRPr="00873C73" w:rsidTr="009703D3">
        <w:trPr>
          <w:trHeight w:val="340"/>
          <w:jc w:val="center"/>
        </w:trPr>
        <w:tc>
          <w:tcPr>
            <w:tcW w:w="2689"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20 August</w:t>
            </w:r>
          </w:p>
        </w:tc>
        <w:tc>
          <w:tcPr>
            <w:tcW w:w="6520" w:type="dxa"/>
            <w:vAlign w:val="center"/>
          </w:tcPr>
          <w:p w:rsidR="00873C73" w:rsidRPr="00873C73" w:rsidRDefault="00873C73" w:rsidP="00873C73">
            <w:pPr>
              <w:ind w:right="-55"/>
              <w:rPr>
                <w:rFonts w:ascii="Arial" w:eastAsia="Times New Roman" w:hAnsi="Arial" w:cs="Arial"/>
              </w:rPr>
            </w:pPr>
            <w:r w:rsidRPr="00873C73">
              <w:rPr>
                <w:rFonts w:ascii="Arial" w:eastAsia="Times New Roman" w:hAnsi="Arial" w:cs="Arial"/>
              </w:rPr>
              <w:t>GCSE Results Day</w:t>
            </w:r>
          </w:p>
        </w:tc>
      </w:tr>
    </w:tbl>
    <w:p w:rsidR="00873C73" w:rsidRPr="00873C73" w:rsidRDefault="00873C73" w:rsidP="00873C73">
      <w:pPr>
        <w:spacing w:after="0" w:line="240" w:lineRule="auto"/>
        <w:ind w:right="-55"/>
        <w:rPr>
          <w:rFonts w:ascii="Arial" w:eastAsia="Times New Roman" w:hAnsi="Arial" w:cs="Arial"/>
          <w:lang w:eastAsia="en-GB"/>
        </w:rPr>
      </w:pP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Faculty teams are also running additional Period 7 sessions for Year 11 students. The format of these sessions varies between subjects, and students should speak to their subject teachers to find out more information. These run after school from Tuesday-Friday, with the following schedule:</w:t>
      </w:r>
    </w:p>
    <w:p w:rsidR="00873C73" w:rsidRPr="00873C73" w:rsidRDefault="00873C73" w:rsidP="00873C73">
      <w:pPr>
        <w:spacing w:after="0" w:line="240" w:lineRule="auto"/>
        <w:ind w:right="-55"/>
        <w:rPr>
          <w:rFonts w:ascii="Arial" w:eastAsia="Times New Roman" w:hAnsi="Arial" w:cs="Arial"/>
          <w:b/>
          <w:sz w:val="20"/>
          <w:lang w:eastAsia="en-GB"/>
        </w:rPr>
      </w:pPr>
    </w:p>
    <w:tbl>
      <w:tblPr>
        <w:tblStyle w:val="TableGrid"/>
        <w:tblW w:w="9208" w:type="dxa"/>
        <w:jc w:val="center"/>
        <w:tblLook w:val="04A0" w:firstRow="1" w:lastRow="0" w:firstColumn="1" w:lastColumn="0" w:noHBand="0" w:noVBand="1"/>
      </w:tblPr>
      <w:tblGrid>
        <w:gridCol w:w="2301"/>
        <w:gridCol w:w="2304"/>
        <w:gridCol w:w="2301"/>
        <w:gridCol w:w="2302"/>
      </w:tblGrid>
      <w:tr w:rsidR="00873C73" w:rsidRPr="00873C73" w:rsidTr="00873C73">
        <w:trPr>
          <w:trHeight w:val="340"/>
          <w:jc w:val="center"/>
        </w:trPr>
        <w:tc>
          <w:tcPr>
            <w:tcW w:w="2324" w:type="dxa"/>
            <w:shd w:val="clear" w:color="auto" w:fill="D9D9D9"/>
            <w:vAlign w:val="center"/>
          </w:tcPr>
          <w:p w:rsidR="00873C73" w:rsidRPr="00873C73" w:rsidRDefault="00873C73" w:rsidP="00873C73">
            <w:pPr>
              <w:ind w:right="-55"/>
              <w:jc w:val="center"/>
              <w:rPr>
                <w:rFonts w:ascii="Arial" w:eastAsia="Times New Roman" w:hAnsi="Arial" w:cs="Arial"/>
                <w:b/>
              </w:rPr>
            </w:pPr>
            <w:r w:rsidRPr="00873C73">
              <w:rPr>
                <w:rFonts w:ascii="Arial" w:eastAsia="Times New Roman" w:hAnsi="Arial" w:cs="Arial"/>
                <w:b/>
              </w:rPr>
              <w:t>Tuesday</w:t>
            </w:r>
          </w:p>
        </w:tc>
        <w:tc>
          <w:tcPr>
            <w:tcW w:w="2324" w:type="dxa"/>
            <w:shd w:val="clear" w:color="auto" w:fill="D9D9D9"/>
            <w:vAlign w:val="center"/>
          </w:tcPr>
          <w:p w:rsidR="00873C73" w:rsidRPr="00873C73" w:rsidRDefault="00873C73" w:rsidP="00873C73">
            <w:pPr>
              <w:ind w:right="-55"/>
              <w:jc w:val="center"/>
              <w:rPr>
                <w:rFonts w:ascii="Arial" w:eastAsia="Times New Roman" w:hAnsi="Arial" w:cs="Arial"/>
                <w:b/>
              </w:rPr>
            </w:pPr>
            <w:r w:rsidRPr="00873C73">
              <w:rPr>
                <w:rFonts w:ascii="Arial" w:eastAsia="Times New Roman" w:hAnsi="Arial" w:cs="Arial"/>
                <w:b/>
              </w:rPr>
              <w:t>Wednesday</w:t>
            </w:r>
          </w:p>
        </w:tc>
        <w:tc>
          <w:tcPr>
            <w:tcW w:w="2324" w:type="dxa"/>
            <w:shd w:val="clear" w:color="auto" w:fill="D9D9D9"/>
            <w:vAlign w:val="center"/>
          </w:tcPr>
          <w:p w:rsidR="00873C73" w:rsidRPr="00873C73" w:rsidRDefault="00873C73" w:rsidP="00873C73">
            <w:pPr>
              <w:ind w:right="-55"/>
              <w:jc w:val="center"/>
              <w:rPr>
                <w:rFonts w:ascii="Arial" w:eastAsia="Times New Roman" w:hAnsi="Arial" w:cs="Arial"/>
                <w:b/>
              </w:rPr>
            </w:pPr>
            <w:r w:rsidRPr="00873C73">
              <w:rPr>
                <w:rFonts w:ascii="Arial" w:eastAsia="Times New Roman" w:hAnsi="Arial" w:cs="Arial"/>
                <w:b/>
              </w:rPr>
              <w:t>Thursday</w:t>
            </w:r>
          </w:p>
        </w:tc>
        <w:tc>
          <w:tcPr>
            <w:tcW w:w="2324" w:type="dxa"/>
            <w:shd w:val="clear" w:color="auto" w:fill="D9D9D9"/>
            <w:vAlign w:val="center"/>
          </w:tcPr>
          <w:p w:rsidR="00873C73" w:rsidRPr="00873C73" w:rsidRDefault="00873C73" w:rsidP="00873C73">
            <w:pPr>
              <w:ind w:right="-55"/>
              <w:jc w:val="center"/>
              <w:rPr>
                <w:rFonts w:ascii="Arial" w:eastAsia="Times New Roman" w:hAnsi="Arial" w:cs="Arial"/>
                <w:b/>
              </w:rPr>
            </w:pPr>
            <w:r w:rsidRPr="00873C73">
              <w:rPr>
                <w:rFonts w:ascii="Arial" w:eastAsia="Times New Roman" w:hAnsi="Arial" w:cs="Arial"/>
                <w:b/>
              </w:rPr>
              <w:t>Friday</w:t>
            </w:r>
          </w:p>
        </w:tc>
      </w:tr>
      <w:tr w:rsidR="00873C73" w:rsidRPr="00873C73" w:rsidTr="009703D3">
        <w:trPr>
          <w:trHeight w:val="1077"/>
          <w:jc w:val="center"/>
        </w:trPr>
        <w:tc>
          <w:tcPr>
            <w:tcW w:w="2324" w:type="dxa"/>
          </w:tcPr>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Science</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French</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Technology and Art</w:t>
            </w:r>
          </w:p>
        </w:tc>
        <w:tc>
          <w:tcPr>
            <w:tcW w:w="2324" w:type="dxa"/>
          </w:tcPr>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Maths</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EPR</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MFL</w:t>
            </w:r>
          </w:p>
        </w:tc>
        <w:tc>
          <w:tcPr>
            <w:tcW w:w="2324" w:type="dxa"/>
          </w:tcPr>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English</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Humanities</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Vocational Education and ICT</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PE</w:t>
            </w:r>
          </w:p>
        </w:tc>
        <w:tc>
          <w:tcPr>
            <w:tcW w:w="2324" w:type="dxa"/>
          </w:tcPr>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Performing Arts</w:t>
            </w:r>
          </w:p>
          <w:p w:rsidR="00873C73" w:rsidRPr="00873C73" w:rsidRDefault="00873C73" w:rsidP="00873C73">
            <w:pPr>
              <w:ind w:right="-55"/>
              <w:jc w:val="center"/>
              <w:rPr>
                <w:rFonts w:ascii="Arial" w:eastAsia="Times New Roman" w:hAnsi="Arial" w:cs="Arial"/>
              </w:rPr>
            </w:pPr>
            <w:r w:rsidRPr="00873C73">
              <w:rPr>
                <w:rFonts w:ascii="Arial" w:eastAsia="Times New Roman" w:hAnsi="Arial" w:cs="Arial"/>
              </w:rPr>
              <w:t>Technology and Art</w:t>
            </w:r>
          </w:p>
        </w:tc>
      </w:tr>
    </w:tbl>
    <w:p w:rsidR="00873C73" w:rsidRPr="00873C73" w:rsidRDefault="00873C73" w:rsidP="00873C73">
      <w:pPr>
        <w:spacing w:after="0" w:line="240" w:lineRule="auto"/>
        <w:ind w:right="-55"/>
        <w:rPr>
          <w:rFonts w:ascii="Arial" w:eastAsia="Times New Roman" w:hAnsi="Arial" w:cs="Arial"/>
          <w:lang w:eastAsia="en-GB"/>
        </w:rPr>
      </w:pP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 xml:space="preserve">If you wish to discuss any of these details please do not hesitate to contact me at school by phone or email at </w:t>
      </w:r>
      <w:hyperlink r:id="rId7" w:history="1">
        <w:r w:rsidRPr="00873C73">
          <w:rPr>
            <w:rFonts w:ascii="Arial" w:eastAsia="Times New Roman" w:hAnsi="Arial" w:cs="Arial"/>
            <w:color w:val="0000FF"/>
            <w:u w:val="single"/>
            <w:lang w:eastAsia="en-GB"/>
          </w:rPr>
          <w:t>simon.kain@teignmouth.devon.sch.uk</w:t>
        </w:r>
      </w:hyperlink>
      <w:r w:rsidRPr="00873C73">
        <w:rPr>
          <w:rFonts w:ascii="Arial" w:eastAsia="Times New Roman" w:hAnsi="Arial" w:cs="Arial"/>
          <w:lang w:eastAsia="en-GB"/>
        </w:rPr>
        <w:t>.</w:t>
      </w:r>
    </w:p>
    <w:p w:rsidR="00873C73" w:rsidRPr="00873C73" w:rsidRDefault="00873C73" w:rsidP="00873C73">
      <w:pPr>
        <w:spacing w:after="0" w:line="240" w:lineRule="auto"/>
        <w:ind w:right="-55"/>
        <w:rPr>
          <w:rFonts w:ascii="Arial" w:eastAsia="Times New Roman" w:hAnsi="Arial" w:cs="Arial"/>
          <w:lang w:eastAsia="en-GB"/>
        </w:rPr>
      </w:pP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Yours faithfully,</w:t>
      </w: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noProof/>
          <w:lang w:eastAsia="en-GB"/>
        </w:rPr>
        <w:drawing>
          <wp:inline distT="0" distB="0" distL="0" distR="0" wp14:anchorId="213CA352" wp14:editId="2E524679">
            <wp:extent cx="1009650" cy="4095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p>
    <w:p w:rsidR="00873C73" w:rsidRPr="00873C73" w:rsidRDefault="00873C73" w:rsidP="00873C73">
      <w:pPr>
        <w:spacing w:after="0" w:line="240" w:lineRule="auto"/>
        <w:ind w:right="-55"/>
        <w:rPr>
          <w:rFonts w:ascii="Arial" w:eastAsia="Times New Roman" w:hAnsi="Arial" w:cs="Arial"/>
          <w:lang w:eastAsia="en-GB"/>
        </w:rPr>
      </w:pPr>
      <w:r w:rsidRPr="00873C73">
        <w:rPr>
          <w:rFonts w:ascii="Arial" w:eastAsia="Times New Roman" w:hAnsi="Arial" w:cs="Arial"/>
          <w:lang w:eastAsia="en-GB"/>
        </w:rPr>
        <w:t>Simon Kain</w:t>
      </w:r>
    </w:p>
    <w:p w:rsidR="002C2B1B" w:rsidRPr="00DC0EFC" w:rsidRDefault="00873C73" w:rsidP="00873C73">
      <w:pPr>
        <w:spacing w:after="0" w:line="240" w:lineRule="auto"/>
        <w:ind w:right="-55"/>
        <w:rPr>
          <w:rFonts w:ascii="Arial" w:hAnsi="Arial" w:cs="Arial"/>
          <w:b/>
        </w:rPr>
      </w:pPr>
      <w:r w:rsidRPr="00873C73">
        <w:rPr>
          <w:rFonts w:ascii="Arial" w:eastAsia="Times New Roman" w:hAnsi="Arial" w:cs="Arial"/>
          <w:lang w:eastAsia="en-GB"/>
        </w:rPr>
        <w:t>Deputy Outcomes Lead</w:t>
      </w:r>
    </w:p>
    <w:sectPr w:rsidR="002C2B1B" w:rsidRPr="00DC0EFC" w:rsidSect="00DC0EFC">
      <w:headerReference w:type="first" r:id="rId9"/>
      <w:footerReference w:type="first" r:id="rId10"/>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EB" w:rsidRDefault="002C55EB" w:rsidP="00960F14">
      <w:pPr>
        <w:spacing w:after="0" w:line="240" w:lineRule="auto"/>
      </w:pPr>
      <w:r>
        <w:separator/>
      </w:r>
    </w:p>
  </w:endnote>
  <w:endnote w:type="continuationSeparator" w:id="0">
    <w:p w:rsidR="002C55EB" w:rsidRDefault="002C55EB" w:rsidP="0096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FC" w:rsidRDefault="006546AC">
    <w:pPr>
      <w:pStyle w:val="Footer"/>
    </w:pPr>
    <w:r>
      <w:rPr>
        <w:noProof/>
        <w:lang w:eastAsia="en-GB"/>
      </w:rPr>
      <w:drawing>
        <wp:anchor distT="0" distB="0" distL="114300" distR="114300" simplePos="0" relativeHeight="251666432" behindDoc="0" locked="0" layoutInCell="1" allowOverlap="1" wp14:anchorId="6DC3BDA2" wp14:editId="094EE69E">
          <wp:simplePos x="0" y="0"/>
          <wp:positionH relativeFrom="margin">
            <wp:posOffset>-877570</wp:posOffset>
          </wp:positionH>
          <wp:positionV relativeFrom="margin">
            <wp:posOffset>8472805</wp:posOffset>
          </wp:positionV>
          <wp:extent cx="7484373" cy="109537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4373"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EB" w:rsidRDefault="002C55EB" w:rsidP="00960F14">
      <w:pPr>
        <w:spacing w:after="0" w:line="240" w:lineRule="auto"/>
      </w:pPr>
      <w:r>
        <w:separator/>
      </w:r>
    </w:p>
  </w:footnote>
  <w:footnote w:type="continuationSeparator" w:id="0">
    <w:p w:rsidR="002C55EB" w:rsidRDefault="002C55EB" w:rsidP="0096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FC" w:rsidRDefault="00DC0EFC">
    <w:pPr>
      <w:pStyle w:val="Header"/>
    </w:pPr>
    <w:r w:rsidRPr="007B5BCF">
      <w:rPr>
        <w:noProof/>
        <w:lang w:eastAsia="en-GB"/>
      </w:rPr>
      <w:drawing>
        <wp:anchor distT="0" distB="0" distL="114300" distR="114300" simplePos="0" relativeHeight="251664384" behindDoc="1" locked="0" layoutInCell="1" allowOverlap="1" wp14:anchorId="281F7FF7" wp14:editId="5B7CF627">
          <wp:simplePos x="0" y="0"/>
          <wp:positionH relativeFrom="margin">
            <wp:posOffset>-934720</wp:posOffset>
          </wp:positionH>
          <wp:positionV relativeFrom="paragraph">
            <wp:posOffset>-486410</wp:posOffset>
          </wp:positionV>
          <wp:extent cx="75914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21431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58"/>
    <w:rsid w:val="000B3F0F"/>
    <w:rsid w:val="000C1623"/>
    <w:rsid w:val="000E63F6"/>
    <w:rsid w:val="0011621F"/>
    <w:rsid w:val="00192A58"/>
    <w:rsid w:val="00234195"/>
    <w:rsid w:val="002C2B1B"/>
    <w:rsid w:val="002C55EB"/>
    <w:rsid w:val="00513D57"/>
    <w:rsid w:val="00581EE3"/>
    <w:rsid w:val="006546AC"/>
    <w:rsid w:val="006A5521"/>
    <w:rsid w:val="007145A8"/>
    <w:rsid w:val="00873C73"/>
    <w:rsid w:val="00960F14"/>
    <w:rsid w:val="00B24DB3"/>
    <w:rsid w:val="00C41657"/>
    <w:rsid w:val="00C95D20"/>
    <w:rsid w:val="00D7126C"/>
    <w:rsid w:val="00DC0EFC"/>
    <w:rsid w:val="00EF54F9"/>
    <w:rsid w:val="00F57D37"/>
    <w:rsid w:val="00FD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88BE387-D34B-4733-8509-CFD1004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14"/>
  </w:style>
  <w:style w:type="paragraph" w:styleId="Footer">
    <w:name w:val="footer"/>
    <w:basedOn w:val="Normal"/>
    <w:link w:val="FooterChar"/>
    <w:uiPriority w:val="99"/>
    <w:unhideWhenUsed/>
    <w:rsid w:val="0096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14"/>
  </w:style>
  <w:style w:type="paragraph" w:styleId="BalloonText">
    <w:name w:val="Balloon Text"/>
    <w:basedOn w:val="Normal"/>
    <w:link w:val="BalloonTextChar"/>
    <w:uiPriority w:val="99"/>
    <w:semiHidden/>
    <w:unhideWhenUsed/>
    <w:rsid w:val="0096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14"/>
    <w:rPr>
      <w:rFonts w:ascii="Tahoma" w:hAnsi="Tahoma" w:cs="Tahoma"/>
      <w:sz w:val="16"/>
      <w:szCs w:val="16"/>
    </w:rPr>
  </w:style>
  <w:style w:type="character" w:styleId="Hyperlink">
    <w:name w:val="Hyperlink"/>
    <w:basedOn w:val="DefaultParagraphFont"/>
    <w:uiPriority w:val="99"/>
    <w:unhideWhenUsed/>
    <w:rsid w:val="00D7126C"/>
    <w:rPr>
      <w:color w:val="0000FF" w:themeColor="hyperlink"/>
      <w:u w:val="single"/>
    </w:rPr>
  </w:style>
  <w:style w:type="table" w:styleId="TableGrid">
    <w:name w:val="Table Grid"/>
    <w:basedOn w:val="TableNormal"/>
    <w:uiPriority w:val="39"/>
    <w:rsid w:val="00873C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imon.kain@teignmouth.dev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1F47-48D1-4010-9789-29EBCC0B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Maire Cotterill</cp:lastModifiedBy>
  <cp:revision>4</cp:revision>
  <cp:lastPrinted>2019-07-04T08:28:00Z</cp:lastPrinted>
  <dcterms:created xsi:type="dcterms:W3CDTF">2019-09-17T12:25:00Z</dcterms:created>
  <dcterms:modified xsi:type="dcterms:W3CDTF">2019-09-18T11:45:00Z</dcterms:modified>
</cp:coreProperties>
</file>